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85" w:rsidRPr="008F1D85" w:rsidRDefault="008F1D85" w:rsidP="008F1D8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F1D85">
        <w:rPr>
          <w:rFonts w:asciiTheme="majorEastAsia" w:eastAsiaTheme="majorEastAsia" w:hAnsiTheme="majorEastAsia" w:hint="eastAsia"/>
          <w:b/>
          <w:sz w:val="28"/>
          <w:szCs w:val="28"/>
        </w:rPr>
        <w:t>協議事項（２）</w:t>
      </w:r>
    </w:p>
    <w:p w:rsidR="00ED1221" w:rsidRDefault="008F1D85" w:rsidP="00936B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A3EE1" w:rsidRPr="008A3EE1">
        <w:rPr>
          <w:rFonts w:asciiTheme="majorEastAsia" w:eastAsiaTheme="majorEastAsia" w:hAnsiTheme="majorEastAsia" w:hint="eastAsia"/>
          <w:color w:val="FF0000"/>
          <w:sz w:val="28"/>
          <w:szCs w:val="28"/>
        </w:rPr>
        <w:t>３</w:t>
      </w:r>
      <w:r w:rsidR="00936B95" w:rsidRPr="00CA2112">
        <w:rPr>
          <w:rFonts w:asciiTheme="majorEastAsia" w:eastAsiaTheme="majorEastAsia" w:hAnsiTheme="majorEastAsia" w:hint="eastAsia"/>
          <w:sz w:val="28"/>
          <w:szCs w:val="28"/>
        </w:rPr>
        <w:t>年度利根町国民健康保険保健事業実施計画</w:t>
      </w:r>
    </w:p>
    <w:p w:rsidR="00682DC7" w:rsidRPr="008F1D85" w:rsidRDefault="00682DC7" w:rsidP="00936B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36B95" w:rsidRPr="00936B95" w:rsidRDefault="00936B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936B95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</w:p>
    <w:p w:rsidR="00E65808" w:rsidRDefault="00E65808" w:rsidP="00E65808">
      <w:pPr>
        <w:widowControl/>
        <w:shd w:val="clear" w:color="auto" w:fill="FFFFFF"/>
        <w:ind w:left="237" w:hangingChars="100" w:hanging="2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国民健康保険法（昭和</w:t>
      </w: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年法律第</w:t>
      </w:r>
      <w:r>
        <w:rPr>
          <w:rFonts w:hint="eastAsia"/>
          <w:sz w:val="24"/>
          <w:szCs w:val="24"/>
        </w:rPr>
        <w:t>192</w:t>
      </w:r>
      <w:r>
        <w:rPr>
          <w:rFonts w:hint="eastAsia"/>
          <w:sz w:val="24"/>
          <w:szCs w:val="24"/>
        </w:rPr>
        <w:t>号）第８２条第１項及び「国民健康保険法に基づく保健事業の実施等に関する指針」（平成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年厚生労働省告示第</w:t>
      </w:r>
      <w:r>
        <w:rPr>
          <w:rFonts w:hint="eastAsia"/>
          <w:sz w:val="24"/>
          <w:szCs w:val="24"/>
        </w:rPr>
        <w:t>307</w:t>
      </w:r>
      <w:r>
        <w:rPr>
          <w:rFonts w:hint="eastAsia"/>
          <w:sz w:val="24"/>
          <w:szCs w:val="24"/>
        </w:rPr>
        <w:t>号）第四の六の規定に基づき，利根町国民健康保険の被保険者の健康の保持増進を図るとともに，保健事業を効果的に実施することを目的とする。</w:t>
      </w:r>
    </w:p>
    <w:p w:rsidR="00E65808" w:rsidRPr="00E65808" w:rsidRDefault="00E65808" w:rsidP="00314203">
      <w:pPr>
        <w:widowControl/>
        <w:shd w:val="clear" w:color="auto" w:fill="FFFFFF"/>
        <w:ind w:left="237" w:hangingChars="100" w:hanging="237"/>
        <w:jc w:val="left"/>
        <w:rPr>
          <w:sz w:val="24"/>
          <w:szCs w:val="24"/>
        </w:rPr>
      </w:pPr>
    </w:p>
    <w:p w:rsidR="00362311" w:rsidRPr="00362311" w:rsidRDefault="00362311" w:rsidP="00314203">
      <w:pPr>
        <w:widowControl/>
        <w:shd w:val="clear" w:color="auto" w:fill="FFFFFF"/>
        <w:ind w:left="238" w:hangingChars="100" w:hanging="23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6231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314203">
        <w:rPr>
          <w:rFonts w:asciiTheme="majorEastAsia" w:eastAsiaTheme="majorEastAsia" w:hAnsiTheme="majorEastAsia" w:hint="eastAsia"/>
          <w:b/>
          <w:sz w:val="24"/>
          <w:szCs w:val="24"/>
        </w:rPr>
        <w:t>基本方針</w:t>
      </w:r>
    </w:p>
    <w:p w:rsidR="00362311" w:rsidRDefault="00BE5ACE" w:rsidP="00314203">
      <w:pPr>
        <w:widowControl/>
        <w:shd w:val="clear" w:color="auto" w:fill="FFFFFF"/>
        <w:ind w:left="237" w:hangingChars="100" w:hanging="2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特定健康診査</w:t>
      </w:r>
      <w:r w:rsidR="003F0DCB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・特定保健指導事業</w:t>
      </w:r>
      <w:r w:rsidR="00AC774C">
        <w:rPr>
          <w:rFonts w:hint="eastAsia"/>
          <w:sz w:val="24"/>
          <w:szCs w:val="24"/>
        </w:rPr>
        <w:t>の推進</w:t>
      </w:r>
    </w:p>
    <w:p w:rsidR="005206C3" w:rsidRDefault="00BE5ACE" w:rsidP="00314203">
      <w:pPr>
        <w:pStyle w:val="Default"/>
        <w:ind w:left="712" w:hangingChars="300" w:hanging="712"/>
      </w:pPr>
      <w:r>
        <w:rPr>
          <w:rFonts w:hint="eastAsia"/>
        </w:rPr>
        <w:t xml:space="preserve">　　　　</w:t>
      </w:r>
      <w:r w:rsidR="00AC774C">
        <w:rPr>
          <w:rFonts w:hint="eastAsia"/>
        </w:rPr>
        <w:t>「利根町国民健康保険第</w:t>
      </w:r>
      <w:r w:rsidR="00F86DE0">
        <w:rPr>
          <w:rFonts w:hint="eastAsia"/>
        </w:rPr>
        <w:t>３</w:t>
      </w:r>
      <w:r w:rsidR="00AC774C">
        <w:rPr>
          <w:rFonts w:hint="eastAsia"/>
        </w:rPr>
        <w:t>期特定健康診査等実施計画」に基づき，</w:t>
      </w:r>
      <w:r>
        <w:rPr>
          <w:rFonts w:hint="eastAsia"/>
        </w:rPr>
        <w:t>生活習慣病の予防に着目した特定健康診査・特定保健指導を</w:t>
      </w:r>
      <w:r w:rsidR="00FC3466">
        <w:rPr>
          <w:rFonts w:hint="eastAsia"/>
        </w:rPr>
        <w:t>実施することに</w:t>
      </w:r>
      <w:r w:rsidR="00836BCE">
        <w:rPr>
          <w:rFonts w:hint="eastAsia"/>
        </w:rPr>
        <w:t>よ</w:t>
      </w:r>
      <w:r w:rsidR="00FC3466">
        <w:rPr>
          <w:rFonts w:hint="eastAsia"/>
        </w:rPr>
        <w:t>り，</w:t>
      </w:r>
      <w:r w:rsidR="005206C3" w:rsidRPr="005206C3">
        <w:rPr>
          <w:rFonts w:hint="eastAsia"/>
        </w:rPr>
        <w:t>被保険者の生活習慣の改善を促し</w:t>
      </w:r>
      <w:r w:rsidR="005206C3">
        <w:rPr>
          <w:rFonts w:hint="eastAsia"/>
        </w:rPr>
        <w:t>，</w:t>
      </w:r>
      <w:r w:rsidR="005206C3" w:rsidRPr="005206C3">
        <w:rPr>
          <w:rFonts w:hint="eastAsia"/>
        </w:rPr>
        <w:t>生活習慣病の予防を図る。</w:t>
      </w:r>
      <w:r w:rsidR="005206C3" w:rsidRPr="005206C3">
        <w:t xml:space="preserve"> </w:t>
      </w:r>
    </w:p>
    <w:p w:rsidR="00AF6959" w:rsidRDefault="00AF6959" w:rsidP="00314203">
      <w:pPr>
        <w:widowControl/>
        <w:shd w:val="clear" w:color="auto" w:fill="FFFFFF"/>
        <w:ind w:left="712" w:hangingChars="300" w:hanging="7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　</w:t>
      </w:r>
      <w:r w:rsidR="007F200E">
        <w:rPr>
          <w:rFonts w:hint="eastAsia"/>
          <w:sz w:val="24"/>
          <w:szCs w:val="24"/>
        </w:rPr>
        <w:t>普及啓発事業</w:t>
      </w:r>
      <w:r w:rsidR="00AC774C">
        <w:rPr>
          <w:rFonts w:hint="eastAsia"/>
          <w:sz w:val="24"/>
          <w:szCs w:val="24"/>
        </w:rPr>
        <w:t>の推進</w:t>
      </w:r>
    </w:p>
    <w:p w:rsidR="007F200E" w:rsidRDefault="005105B5" w:rsidP="00314203">
      <w:pPr>
        <w:widowControl/>
        <w:shd w:val="clear" w:color="auto" w:fill="FFFFFF"/>
        <w:ind w:left="712" w:hangingChars="300" w:hanging="7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被保険者の</w:t>
      </w:r>
      <w:r w:rsidRPr="00266760">
        <w:rPr>
          <w:rFonts w:hint="eastAsia"/>
          <w:color w:val="FF0000"/>
          <w:sz w:val="24"/>
          <w:szCs w:val="24"/>
        </w:rPr>
        <w:t>健康</w:t>
      </w:r>
      <w:r w:rsidR="00266760" w:rsidRPr="00266760">
        <w:rPr>
          <w:rFonts w:hint="eastAsia"/>
          <w:color w:val="FF0000"/>
          <w:sz w:val="24"/>
          <w:szCs w:val="24"/>
        </w:rPr>
        <w:t>寿命の延伸</w:t>
      </w:r>
      <w:r>
        <w:rPr>
          <w:rFonts w:hint="eastAsia"/>
          <w:sz w:val="24"/>
          <w:szCs w:val="24"/>
        </w:rPr>
        <w:t>，</w:t>
      </w:r>
      <w:r w:rsidR="007F200E">
        <w:rPr>
          <w:rFonts w:hint="eastAsia"/>
          <w:sz w:val="24"/>
          <w:szCs w:val="24"/>
        </w:rPr>
        <w:t>疾病予防</w:t>
      </w:r>
      <w:r>
        <w:rPr>
          <w:rFonts w:hint="eastAsia"/>
          <w:sz w:val="24"/>
          <w:szCs w:val="24"/>
        </w:rPr>
        <w:t>を図るとともに</w:t>
      </w:r>
      <w:r w:rsidR="006762C4">
        <w:rPr>
          <w:rFonts w:hint="eastAsia"/>
          <w:sz w:val="24"/>
          <w:szCs w:val="24"/>
        </w:rPr>
        <w:t>，医療費の適正化</w:t>
      </w:r>
      <w:r w:rsidR="00266760">
        <w:rPr>
          <w:rFonts w:hint="eastAsia"/>
          <w:sz w:val="24"/>
          <w:szCs w:val="24"/>
        </w:rPr>
        <w:t>に資することを目的に</w:t>
      </w:r>
      <w:r w:rsidR="007F200E">
        <w:rPr>
          <w:rFonts w:hint="eastAsia"/>
          <w:sz w:val="24"/>
          <w:szCs w:val="24"/>
        </w:rPr>
        <w:t>，</w:t>
      </w:r>
      <w:r w:rsidRPr="005105B5">
        <w:rPr>
          <w:rFonts w:hint="eastAsia"/>
          <w:sz w:val="24"/>
          <w:szCs w:val="24"/>
        </w:rPr>
        <w:t>疾病を予防するための事業及び医療・保健に関する</w:t>
      </w:r>
      <w:r w:rsidR="007F200E">
        <w:rPr>
          <w:rFonts w:hint="eastAsia"/>
          <w:sz w:val="24"/>
          <w:szCs w:val="24"/>
        </w:rPr>
        <w:t>普及啓発事業を</w:t>
      </w:r>
      <w:r w:rsidR="00AC774C">
        <w:rPr>
          <w:rFonts w:hint="eastAsia"/>
          <w:sz w:val="24"/>
          <w:szCs w:val="24"/>
        </w:rPr>
        <w:t>推進</w:t>
      </w:r>
      <w:r w:rsidR="007F200E">
        <w:rPr>
          <w:rFonts w:hint="eastAsia"/>
          <w:sz w:val="24"/>
          <w:szCs w:val="24"/>
        </w:rPr>
        <w:t>する。</w:t>
      </w:r>
    </w:p>
    <w:p w:rsidR="00AC774C" w:rsidRDefault="00AC774C" w:rsidP="00314203">
      <w:pPr>
        <w:widowControl/>
        <w:shd w:val="clear" w:color="auto" w:fill="FFFFFF"/>
        <w:ind w:left="712" w:hangingChars="300" w:hanging="7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　疾病予防事業及び健康教育事業の推進</w:t>
      </w:r>
    </w:p>
    <w:p w:rsidR="00AC774C" w:rsidRPr="00AC774C" w:rsidRDefault="00AC774C" w:rsidP="00314203">
      <w:pPr>
        <w:widowControl/>
        <w:shd w:val="clear" w:color="auto" w:fill="FFFFFF"/>
        <w:ind w:left="712" w:hangingChars="300" w:hanging="7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人間（脳）ドック</w:t>
      </w:r>
      <w:r w:rsidR="009409C3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助成や集団健康教室などを実施し，疾病予防や重症化予防を図る。</w:t>
      </w:r>
    </w:p>
    <w:p w:rsidR="007615E4" w:rsidRDefault="007615E4" w:rsidP="00314203">
      <w:pPr>
        <w:widowControl/>
        <w:shd w:val="clear" w:color="auto" w:fill="FFFFFF"/>
        <w:ind w:left="712" w:hangingChars="300" w:hanging="712"/>
        <w:jc w:val="left"/>
        <w:rPr>
          <w:sz w:val="24"/>
          <w:szCs w:val="24"/>
        </w:rPr>
      </w:pPr>
    </w:p>
    <w:p w:rsidR="00AC774C" w:rsidRPr="00162D05" w:rsidRDefault="00AC774C" w:rsidP="00314203">
      <w:pPr>
        <w:widowControl/>
        <w:shd w:val="clear" w:color="auto" w:fill="FFFFFF"/>
        <w:ind w:left="715" w:hangingChars="300" w:hanging="71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62D05">
        <w:rPr>
          <w:rFonts w:asciiTheme="majorEastAsia" w:eastAsiaTheme="majorEastAsia" w:hAnsiTheme="majorEastAsia" w:hint="eastAsia"/>
          <w:b/>
          <w:sz w:val="24"/>
          <w:szCs w:val="24"/>
        </w:rPr>
        <w:t>３　事業計画</w:t>
      </w:r>
    </w:p>
    <w:p w:rsidR="00314203" w:rsidRPr="00AC774C" w:rsidRDefault="00314203" w:rsidP="002A51FA">
      <w:pPr>
        <w:widowControl/>
        <w:shd w:val="clear" w:color="auto" w:fill="FFFFFF"/>
        <w:ind w:left="712" w:hangingChars="300" w:hanging="712"/>
        <w:jc w:val="left"/>
        <w:rPr>
          <w:b/>
          <w:sz w:val="24"/>
          <w:szCs w:val="24"/>
        </w:rPr>
      </w:pPr>
      <w:r w:rsidRPr="00314203">
        <w:rPr>
          <w:rFonts w:hint="eastAsia"/>
          <w:sz w:val="24"/>
          <w:szCs w:val="24"/>
        </w:rPr>
        <w:t xml:space="preserve">　　基本方針に基づき，以下に定める事業を実施する。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AC774C" w:rsidTr="00845B00">
        <w:tc>
          <w:tcPr>
            <w:tcW w:w="2126" w:type="dxa"/>
          </w:tcPr>
          <w:p w:rsidR="00AC774C" w:rsidRDefault="00AC774C" w:rsidP="00AC774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AC774C" w:rsidRDefault="00AC774C" w:rsidP="00AC774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</w:tr>
      <w:tr w:rsidR="00AC774C" w:rsidTr="00845B00">
        <w:tc>
          <w:tcPr>
            <w:tcW w:w="2126" w:type="dxa"/>
            <w:vAlign w:val="center"/>
          </w:tcPr>
          <w:p w:rsidR="00AC774C" w:rsidRDefault="00AC774C" w:rsidP="003719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特定健康診査事業</w:t>
            </w:r>
          </w:p>
        </w:tc>
        <w:tc>
          <w:tcPr>
            <w:tcW w:w="7229" w:type="dxa"/>
          </w:tcPr>
          <w:p w:rsidR="005A2F84" w:rsidRDefault="00BA264C" w:rsidP="00BA264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B52161">
              <w:rPr>
                <w:rFonts w:hint="eastAsia"/>
                <w:sz w:val="24"/>
                <w:szCs w:val="24"/>
              </w:rPr>
              <w:t>特定健康診査の実施</w:t>
            </w:r>
          </w:p>
          <w:p w:rsidR="00AC774C" w:rsidRDefault="00FB77C6" w:rsidP="00845B00">
            <w:pPr>
              <w:widowControl/>
              <w:ind w:leftChars="100" w:left="207" w:firstLineChars="100" w:firstLine="2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４０歳以上の被保険者を対象に，生活習慣病の予防に着目した特定健康診査を実施する。</w:t>
            </w:r>
          </w:p>
          <w:p w:rsidR="00D66A3A" w:rsidRPr="0004486C" w:rsidRDefault="00D66A3A" w:rsidP="00314203">
            <w:pPr>
              <w:widowControl/>
              <w:ind w:firstLineChars="100" w:firstLine="237"/>
              <w:jc w:val="left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【実施時期】</w:t>
            </w:r>
          </w:p>
          <w:p w:rsidR="00D66A3A" w:rsidRDefault="00D66A3A" w:rsidP="003B616A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3B616A">
              <w:rPr>
                <w:rFonts w:hint="eastAsia"/>
                <w:sz w:val="24"/>
                <w:szCs w:val="24"/>
              </w:rPr>
              <w:t>集団</w:t>
            </w:r>
            <w:r w:rsidR="003B616A" w:rsidRPr="003B616A">
              <w:rPr>
                <w:rFonts w:hint="eastAsia"/>
                <w:sz w:val="24"/>
                <w:szCs w:val="24"/>
              </w:rPr>
              <w:t>健診</w:t>
            </w:r>
            <w:r w:rsidR="00986057" w:rsidRPr="003B616A">
              <w:rPr>
                <w:rFonts w:hint="eastAsia"/>
                <w:sz w:val="24"/>
                <w:szCs w:val="24"/>
              </w:rPr>
              <w:t>：</w:t>
            </w:r>
            <w:r w:rsidRPr="003B616A">
              <w:rPr>
                <w:rFonts w:hint="eastAsia"/>
                <w:sz w:val="24"/>
                <w:szCs w:val="24"/>
              </w:rPr>
              <w:t>６月・</w:t>
            </w:r>
            <w:r w:rsidR="00266760" w:rsidRPr="00266760">
              <w:rPr>
                <w:rFonts w:hint="eastAsia"/>
                <w:color w:val="FF0000"/>
                <w:sz w:val="24"/>
                <w:szCs w:val="24"/>
              </w:rPr>
              <w:t>８月</w:t>
            </w:r>
            <w:r w:rsidR="00266760">
              <w:rPr>
                <w:rFonts w:hint="eastAsia"/>
                <w:sz w:val="24"/>
                <w:szCs w:val="24"/>
              </w:rPr>
              <w:t>・</w:t>
            </w:r>
            <w:r w:rsidRPr="003B616A">
              <w:rPr>
                <w:rFonts w:hint="eastAsia"/>
                <w:sz w:val="24"/>
                <w:szCs w:val="24"/>
              </w:rPr>
              <w:t>１１月（追加</w:t>
            </w:r>
            <w:r w:rsidR="008F1D85">
              <w:rPr>
                <w:rFonts w:hint="eastAsia"/>
                <w:sz w:val="24"/>
                <w:szCs w:val="24"/>
              </w:rPr>
              <w:t>・ミニドック</w:t>
            </w:r>
            <w:r w:rsidRPr="003B616A">
              <w:rPr>
                <w:rFonts w:hint="eastAsia"/>
                <w:sz w:val="24"/>
                <w:szCs w:val="24"/>
              </w:rPr>
              <w:t>）</w:t>
            </w:r>
          </w:p>
          <w:p w:rsidR="003B616A" w:rsidRDefault="00C5243F" w:rsidP="003B616A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B616A">
              <w:rPr>
                <w:rFonts w:hint="eastAsia"/>
                <w:sz w:val="24"/>
                <w:szCs w:val="24"/>
              </w:rPr>
              <w:t>健診：通年</w:t>
            </w:r>
          </w:p>
          <w:p w:rsidR="003B616A" w:rsidRPr="003B616A" w:rsidRDefault="003B616A" w:rsidP="003B616A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人間（脳）ドック：通年</w:t>
            </w:r>
          </w:p>
          <w:p w:rsidR="00D66A3A" w:rsidRPr="0004486C" w:rsidRDefault="00D66A3A" w:rsidP="004036B5">
            <w:pPr>
              <w:widowControl/>
              <w:ind w:firstLineChars="100" w:firstLine="237"/>
              <w:jc w:val="left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【実施方法】</w:t>
            </w:r>
          </w:p>
          <w:p w:rsidR="008F1D85" w:rsidRDefault="00C5243F" w:rsidP="008F1D85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C5243F">
              <w:rPr>
                <w:rFonts w:hint="eastAsia"/>
                <w:sz w:val="24"/>
                <w:szCs w:val="24"/>
              </w:rPr>
              <w:t>集団健</w:t>
            </w:r>
            <w:r w:rsidR="00D66A3A" w:rsidRPr="00C5243F">
              <w:rPr>
                <w:rFonts w:hint="eastAsia"/>
                <w:sz w:val="24"/>
                <w:szCs w:val="24"/>
              </w:rPr>
              <w:t>診</w:t>
            </w:r>
            <w:r w:rsidR="00986057" w:rsidRPr="00C5243F">
              <w:rPr>
                <w:rFonts w:hint="eastAsia"/>
                <w:sz w:val="24"/>
                <w:szCs w:val="24"/>
              </w:rPr>
              <w:t>：</w:t>
            </w:r>
            <w:r w:rsidR="00D66A3A" w:rsidRPr="00C5243F">
              <w:rPr>
                <w:rFonts w:hint="eastAsia"/>
                <w:sz w:val="24"/>
                <w:szCs w:val="24"/>
              </w:rPr>
              <w:t>取手市医師会への委託により</w:t>
            </w:r>
            <w:r w:rsidR="008F1D85">
              <w:rPr>
                <w:rFonts w:hint="eastAsia"/>
                <w:sz w:val="24"/>
                <w:szCs w:val="24"/>
              </w:rPr>
              <w:t>文化センター</w:t>
            </w:r>
            <w:r w:rsidR="00986057" w:rsidRPr="00C5243F">
              <w:rPr>
                <w:rFonts w:hint="eastAsia"/>
                <w:sz w:val="24"/>
                <w:szCs w:val="24"/>
              </w:rPr>
              <w:t>等</w:t>
            </w:r>
          </w:p>
          <w:p w:rsidR="00D66A3A" w:rsidRPr="008F1D85" w:rsidRDefault="00986057" w:rsidP="008F1D85">
            <w:pPr>
              <w:pStyle w:val="a8"/>
              <w:widowControl/>
              <w:ind w:leftChars="0" w:left="1072"/>
              <w:jc w:val="left"/>
              <w:rPr>
                <w:sz w:val="24"/>
                <w:szCs w:val="24"/>
              </w:rPr>
            </w:pPr>
            <w:r w:rsidRPr="00C5243F">
              <w:rPr>
                <w:rFonts w:hint="eastAsia"/>
                <w:sz w:val="24"/>
                <w:szCs w:val="24"/>
              </w:rPr>
              <w:t>の</w:t>
            </w:r>
            <w:r w:rsidR="00D66A3A" w:rsidRPr="00C5243F">
              <w:rPr>
                <w:rFonts w:hint="eastAsia"/>
                <w:sz w:val="24"/>
                <w:szCs w:val="24"/>
              </w:rPr>
              <w:t>公共</w:t>
            </w:r>
            <w:r w:rsidR="00D66A3A" w:rsidRPr="008F1D85">
              <w:rPr>
                <w:rFonts w:hint="eastAsia"/>
                <w:sz w:val="24"/>
                <w:szCs w:val="24"/>
              </w:rPr>
              <w:t>施設</w:t>
            </w:r>
            <w:r w:rsidR="004036B5" w:rsidRPr="008F1D85">
              <w:rPr>
                <w:rFonts w:hint="eastAsia"/>
                <w:sz w:val="24"/>
                <w:szCs w:val="24"/>
              </w:rPr>
              <w:t>(4</w:t>
            </w:r>
            <w:r w:rsidR="004036B5" w:rsidRPr="008F1D85">
              <w:rPr>
                <w:rFonts w:hint="eastAsia"/>
                <w:sz w:val="24"/>
                <w:szCs w:val="24"/>
              </w:rPr>
              <w:t>カ所</w:t>
            </w:r>
            <w:r w:rsidR="004036B5" w:rsidRPr="008F1D85">
              <w:rPr>
                <w:rFonts w:hint="eastAsia"/>
                <w:sz w:val="24"/>
                <w:szCs w:val="24"/>
              </w:rPr>
              <w:t>)</w:t>
            </w:r>
            <w:r w:rsidR="00D66A3A" w:rsidRPr="008F1D85">
              <w:rPr>
                <w:rFonts w:hint="eastAsia"/>
                <w:sz w:val="24"/>
                <w:szCs w:val="24"/>
              </w:rPr>
              <w:t>で実施</w:t>
            </w:r>
          </w:p>
          <w:p w:rsidR="00D66A3A" w:rsidRPr="0004486C" w:rsidRDefault="00D66A3A" w:rsidP="008F1D85">
            <w:pPr>
              <w:widowControl/>
              <w:ind w:firstLineChars="500" w:firstLine="1187"/>
              <w:jc w:val="left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※町がん検診と同時実施</w:t>
            </w:r>
            <w:r w:rsidR="00266760" w:rsidRPr="00266760">
              <w:rPr>
                <w:rFonts w:hint="eastAsia"/>
                <w:color w:val="FF0000"/>
                <w:sz w:val="24"/>
                <w:szCs w:val="24"/>
              </w:rPr>
              <w:t>（ミニドック）</w:t>
            </w:r>
          </w:p>
          <w:p w:rsidR="00D66A3A" w:rsidRPr="00973F27" w:rsidRDefault="00C5243F" w:rsidP="00973F27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973F27">
              <w:rPr>
                <w:rFonts w:hint="eastAsia"/>
                <w:sz w:val="24"/>
                <w:szCs w:val="24"/>
              </w:rPr>
              <w:t>医療機関</w:t>
            </w:r>
            <w:r w:rsidR="00D66A3A" w:rsidRPr="00973F27">
              <w:rPr>
                <w:rFonts w:hint="eastAsia"/>
                <w:sz w:val="24"/>
                <w:szCs w:val="24"/>
              </w:rPr>
              <w:t>健診</w:t>
            </w:r>
            <w:r w:rsidR="00986057" w:rsidRPr="00973F27">
              <w:rPr>
                <w:rFonts w:hint="eastAsia"/>
                <w:sz w:val="24"/>
                <w:szCs w:val="24"/>
              </w:rPr>
              <w:t>：茨城県医師会に加入の医療機関で実施</w:t>
            </w:r>
          </w:p>
          <w:p w:rsidR="00986057" w:rsidRPr="008F1D85" w:rsidRDefault="00973F27" w:rsidP="008F1D85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F1D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86057" w:rsidRPr="008F1D85">
              <w:rPr>
                <w:rFonts w:asciiTheme="minorEastAsia" w:hAnsiTheme="minorEastAsia" w:hint="eastAsia"/>
                <w:sz w:val="24"/>
                <w:szCs w:val="24"/>
              </w:rPr>
              <w:t>人間（脳）ドック：指定する１</w:t>
            </w:r>
            <w:r w:rsidR="008F1D85" w:rsidRPr="008F1D8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86057" w:rsidRPr="008F1D85">
              <w:rPr>
                <w:rFonts w:asciiTheme="minorEastAsia" w:hAnsiTheme="minorEastAsia" w:hint="eastAsia"/>
                <w:sz w:val="24"/>
                <w:szCs w:val="24"/>
              </w:rPr>
              <w:t>医療機関で実施</w:t>
            </w:r>
          </w:p>
          <w:p w:rsidR="00287BD2" w:rsidRDefault="00287BD2" w:rsidP="00BA264C">
            <w:pPr>
              <w:widowControl/>
              <w:jc w:val="left"/>
              <w:rPr>
                <w:sz w:val="24"/>
                <w:szCs w:val="24"/>
              </w:rPr>
            </w:pPr>
          </w:p>
          <w:p w:rsidR="00BA264C" w:rsidRDefault="00BA264C" w:rsidP="00BA264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404D56">
              <w:rPr>
                <w:rFonts w:hint="eastAsia"/>
                <w:sz w:val="24"/>
                <w:szCs w:val="24"/>
              </w:rPr>
              <w:t>特定健康診査受診勧奨の実施</w:t>
            </w:r>
          </w:p>
          <w:p w:rsidR="00404D56" w:rsidRPr="00BA264C" w:rsidRDefault="00404D56" w:rsidP="00BA4514">
            <w:pPr>
              <w:widowControl/>
              <w:ind w:left="237" w:hangingChars="100" w:hanging="2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特定健康診査の未受診者へ過去３年間の健診結果</w:t>
            </w:r>
            <w:r w:rsidR="008F1D8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を元に</w:t>
            </w:r>
            <w:r w:rsidR="008F1D8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はがきにて受診勧奨を実施する。</w:t>
            </w:r>
          </w:p>
          <w:p w:rsidR="00BA264C" w:rsidRPr="00BA264C" w:rsidRDefault="00BA264C" w:rsidP="00BA264C">
            <w:pPr>
              <w:pStyle w:val="a8"/>
              <w:widowControl/>
              <w:ind w:leftChars="0" w:left="1072"/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AC774C" w:rsidTr="00845B00">
        <w:tc>
          <w:tcPr>
            <w:tcW w:w="2126" w:type="dxa"/>
            <w:vAlign w:val="center"/>
          </w:tcPr>
          <w:p w:rsidR="00AC774C" w:rsidRDefault="00AC774C" w:rsidP="003719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特定保健指導事業</w:t>
            </w:r>
          </w:p>
        </w:tc>
        <w:tc>
          <w:tcPr>
            <w:tcW w:w="7229" w:type="dxa"/>
          </w:tcPr>
          <w:p w:rsidR="00C01402" w:rsidRPr="0004486C" w:rsidRDefault="00C01402" w:rsidP="00AF6959">
            <w:pPr>
              <w:widowControl/>
              <w:jc w:val="left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１　特定保健指導の実施</w:t>
            </w:r>
          </w:p>
          <w:p w:rsidR="00AC774C" w:rsidRDefault="00FB77C6" w:rsidP="007357CF">
            <w:pPr>
              <w:widowControl/>
              <w:ind w:left="237" w:hangingChars="100" w:hanging="2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357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特定健康診査の結果から</w:t>
            </w:r>
            <w:r w:rsidR="00CA590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動機付け支援及び積極的支援に階層化された</w:t>
            </w:r>
            <w:r w:rsidR="00677968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を対象に，生活習慣改善のための特定保健指導を実施する。</w:t>
            </w:r>
          </w:p>
          <w:p w:rsidR="00FB77C6" w:rsidRDefault="003F0DCB" w:rsidP="00AF695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036B5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実施時期</w:t>
            </w:r>
            <w:r w:rsidR="004036B5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通年</w:t>
            </w:r>
          </w:p>
          <w:p w:rsidR="00C01402" w:rsidRPr="0004486C" w:rsidRDefault="003F0DCB" w:rsidP="00314203">
            <w:pPr>
              <w:widowControl/>
              <w:ind w:left="1662" w:hangingChars="700" w:hanging="16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036B5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実施方法</w:t>
            </w:r>
            <w:r w:rsidR="004036B5">
              <w:rPr>
                <w:rFonts w:hint="eastAsia"/>
                <w:sz w:val="24"/>
                <w:szCs w:val="24"/>
              </w:rPr>
              <w:t>】</w:t>
            </w:r>
            <w:r w:rsidR="00C01402" w:rsidRPr="0004486C">
              <w:rPr>
                <w:rFonts w:hint="eastAsia"/>
                <w:sz w:val="24"/>
                <w:szCs w:val="24"/>
              </w:rPr>
              <w:t>町保健師</w:t>
            </w:r>
            <w:r w:rsidR="008F1D85">
              <w:rPr>
                <w:rFonts w:hint="eastAsia"/>
                <w:sz w:val="24"/>
                <w:szCs w:val="24"/>
              </w:rPr>
              <w:t>・</w:t>
            </w:r>
            <w:r w:rsidR="00FF2E80">
              <w:rPr>
                <w:rFonts w:hint="eastAsia"/>
                <w:sz w:val="24"/>
                <w:szCs w:val="24"/>
              </w:rPr>
              <w:t>管理</w:t>
            </w:r>
            <w:r w:rsidR="008F1D85">
              <w:rPr>
                <w:rFonts w:hint="eastAsia"/>
                <w:sz w:val="24"/>
                <w:szCs w:val="24"/>
              </w:rPr>
              <w:t>栄養士</w:t>
            </w:r>
            <w:r w:rsidR="00C01402" w:rsidRPr="0004486C">
              <w:rPr>
                <w:rFonts w:hint="eastAsia"/>
                <w:sz w:val="24"/>
                <w:szCs w:val="24"/>
              </w:rPr>
              <w:t>及び外部委託した保健指導機関において実施</w:t>
            </w:r>
          </w:p>
          <w:p w:rsidR="00677968" w:rsidRPr="00FF2E80" w:rsidRDefault="00677968" w:rsidP="007357CF">
            <w:pPr>
              <w:widowControl/>
              <w:ind w:left="238" w:hangingChars="100" w:hanging="238"/>
              <w:jc w:val="left"/>
              <w:rPr>
                <w:b/>
                <w:sz w:val="24"/>
                <w:szCs w:val="24"/>
                <w:u w:val="wave"/>
              </w:rPr>
            </w:pPr>
          </w:p>
          <w:p w:rsidR="00484DC6" w:rsidRPr="002B675C" w:rsidRDefault="00C01402" w:rsidP="007357CF">
            <w:pPr>
              <w:widowControl/>
              <w:ind w:left="237" w:hangingChars="100" w:hanging="237"/>
              <w:jc w:val="left"/>
              <w:rPr>
                <w:sz w:val="24"/>
                <w:szCs w:val="24"/>
              </w:rPr>
            </w:pPr>
            <w:r w:rsidRPr="002B675C">
              <w:rPr>
                <w:rFonts w:hint="eastAsia"/>
                <w:sz w:val="24"/>
                <w:szCs w:val="24"/>
              </w:rPr>
              <w:t xml:space="preserve">２　</w:t>
            </w:r>
            <w:r w:rsidR="00F86DE0">
              <w:rPr>
                <w:rFonts w:hint="eastAsia"/>
                <w:sz w:val="24"/>
                <w:szCs w:val="24"/>
              </w:rPr>
              <w:t>第２期</w:t>
            </w:r>
            <w:r w:rsidR="007357CF" w:rsidRPr="002B675C">
              <w:rPr>
                <w:rFonts w:hint="eastAsia"/>
                <w:sz w:val="24"/>
                <w:szCs w:val="24"/>
              </w:rPr>
              <w:t>データヘルス</w:t>
            </w:r>
            <w:r w:rsidR="00CA5900" w:rsidRPr="002B675C">
              <w:rPr>
                <w:rFonts w:hint="eastAsia"/>
                <w:sz w:val="24"/>
                <w:szCs w:val="24"/>
              </w:rPr>
              <w:t>計画に基づく保健事業の実施</w:t>
            </w:r>
          </w:p>
          <w:p w:rsidR="007357CF" w:rsidRDefault="007357CF" w:rsidP="00677968">
            <w:pPr>
              <w:ind w:left="237" w:hangingChars="100" w:hanging="237"/>
              <w:rPr>
                <w:sz w:val="24"/>
                <w:szCs w:val="24"/>
              </w:rPr>
            </w:pPr>
            <w:r w:rsidRPr="002B675C">
              <w:rPr>
                <w:rFonts w:hint="eastAsia"/>
                <w:sz w:val="24"/>
                <w:szCs w:val="24"/>
              </w:rPr>
              <w:t xml:space="preserve">　</w:t>
            </w:r>
            <w:r w:rsidR="00FD0DC3" w:rsidRPr="002B675C">
              <w:rPr>
                <w:rFonts w:hint="eastAsia"/>
                <w:sz w:val="24"/>
                <w:szCs w:val="24"/>
              </w:rPr>
              <w:t xml:space="preserve">　</w:t>
            </w:r>
            <w:r w:rsidR="00677968" w:rsidRPr="002B675C">
              <w:rPr>
                <w:rFonts w:hint="eastAsia"/>
                <w:sz w:val="24"/>
                <w:szCs w:val="24"/>
              </w:rPr>
              <w:t>レセプト情報と特定健康診査結果のデータを分析し</w:t>
            </w:r>
            <w:r w:rsidR="00CA5900" w:rsidRPr="002B675C">
              <w:rPr>
                <w:rFonts w:hint="eastAsia"/>
                <w:sz w:val="24"/>
                <w:szCs w:val="24"/>
              </w:rPr>
              <w:t>，</w:t>
            </w:r>
            <w:r w:rsidR="00883407" w:rsidRPr="002B675C">
              <w:rPr>
                <w:rFonts w:asciiTheme="minorEastAsia" w:hAnsiTheme="minorEastAsia" w:hint="eastAsia"/>
                <w:sz w:val="24"/>
                <w:szCs w:val="24"/>
              </w:rPr>
              <w:t>ＰＤＣＡ</w:t>
            </w:r>
            <w:r w:rsidR="00883407" w:rsidRPr="002B675C">
              <w:rPr>
                <w:rFonts w:hint="eastAsia"/>
                <w:sz w:val="24"/>
                <w:szCs w:val="24"/>
              </w:rPr>
              <w:t>サイクルに沿った効率的かつ効果的な</w:t>
            </w:r>
            <w:r w:rsidR="00FD0DC3" w:rsidRPr="002B675C">
              <w:rPr>
                <w:rFonts w:hint="eastAsia"/>
                <w:sz w:val="24"/>
                <w:szCs w:val="24"/>
              </w:rPr>
              <w:t>保健事業を実施</w:t>
            </w:r>
            <w:r w:rsidR="00FF2E80">
              <w:rPr>
                <w:rFonts w:hint="eastAsia"/>
                <w:sz w:val="24"/>
                <w:szCs w:val="24"/>
              </w:rPr>
              <w:t>する</w:t>
            </w:r>
            <w:r w:rsidR="00FD0DC3" w:rsidRPr="002B675C">
              <w:rPr>
                <w:rFonts w:hint="eastAsia"/>
                <w:sz w:val="24"/>
                <w:szCs w:val="24"/>
              </w:rPr>
              <w:t>。</w:t>
            </w:r>
          </w:p>
          <w:p w:rsidR="002B675C" w:rsidRDefault="002B675C" w:rsidP="00677968">
            <w:pPr>
              <w:ind w:left="237" w:hangingChars="100" w:hanging="237"/>
              <w:rPr>
                <w:sz w:val="24"/>
                <w:szCs w:val="24"/>
              </w:rPr>
            </w:pPr>
          </w:p>
          <w:p w:rsidR="004120A0" w:rsidRPr="005A1646" w:rsidRDefault="002B675C" w:rsidP="00677968">
            <w:pPr>
              <w:ind w:left="237" w:hangingChars="100" w:hanging="237"/>
              <w:rPr>
                <w:rFonts w:asciiTheme="minorEastAsia" w:hAnsiTheme="minorEastAsia"/>
                <w:sz w:val="24"/>
                <w:szCs w:val="24"/>
              </w:rPr>
            </w:pPr>
            <w:r w:rsidRPr="005A1646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BA4CC9">
              <w:rPr>
                <w:rFonts w:asciiTheme="minorEastAsia" w:hAnsiTheme="minorEastAsia" w:hint="eastAsia"/>
                <w:sz w:val="24"/>
                <w:szCs w:val="24"/>
              </w:rPr>
              <w:t>糖尿病性</w:t>
            </w:r>
            <w:r w:rsidR="008F1D85">
              <w:rPr>
                <w:rFonts w:asciiTheme="minorEastAsia" w:hAnsiTheme="minorEastAsia" w:hint="eastAsia"/>
                <w:sz w:val="24"/>
                <w:szCs w:val="24"/>
              </w:rPr>
              <w:t>腎臓病</w:t>
            </w:r>
            <w:r w:rsidR="00BA4CC9">
              <w:rPr>
                <w:rFonts w:asciiTheme="minorEastAsia" w:hAnsiTheme="minorEastAsia" w:hint="eastAsia"/>
                <w:sz w:val="24"/>
                <w:szCs w:val="24"/>
              </w:rPr>
              <w:t>重症化予防事業</w:t>
            </w:r>
            <w:r w:rsidR="004120A0" w:rsidRPr="005A16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B675C" w:rsidRPr="005A1646" w:rsidRDefault="002B675C" w:rsidP="00677968">
            <w:pPr>
              <w:ind w:left="237" w:hangingChars="100" w:hanging="237"/>
              <w:rPr>
                <w:rFonts w:asciiTheme="minorEastAsia" w:hAnsiTheme="minorEastAsia"/>
                <w:sz w:val="24"/>
                <w:szCs w:val="24"/>
              </w:rPr>
            </w:pPr>
            <w:r w:rsidRPr="005A164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15531" w:rsidRPr="005A1646">
              <w:rPr>
                <w:rFonts w:asciiTheme="minorEastAsia" w:hAnsiTheme="minorEastAsia" w:hint="eastAsia"/>
                <w:sz w:val="24"/>
                <w:szCs w:val="24"/>
              </w:rPr>
              <w:t>糖尿病に起因する人工透析患者を抑制するため</w:t>
            </w:r>
            <w:r w:rsidR="00467E0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67E05" w:rsidRPr="00FF2E80">
              <w:rPr>
                <w:rFonts w:hint="eastAsia"/>
                <w:sz w:val="24"/>
                <w:szCs w:val="24"/>
              </w:rPr>
              <w:t>糖尿病性腎臓病重症化予防プログラムに沿って，</w:t>
            </w:r>
            <w:r w:rsidR="00BA4CC9" w:rsidRPr="00FF2E80">
              <w:rPr>
                <w:rFonts w:asciiTheme="minorEastAsia" w:hAnsiTheme="minorEastAsia" w:hint="eastAsia"/>
                <w:sz w:val="24"/>
                <w:szCs w:val="24"/>
              </w:rPr>
              <w:t>受療勧奨及び</w:t>
            </w:r>
            <w:r w:rsidR="00815531" w:rsidRPr="005A1646">
              <w:rPr>
                <w:rFonts w:asciiTheme="minorEastAsia" w:hAnsiTheme="minorEastAsia" w:hint="eastAsia"/>
                <w:sz w:val="24"/>
                <w:szCs w:val="24"/>
              </w:rPr>
              <w:t>保健指導</w:t>
            </w:r>
            <w:r w:rsidR="00467E05">
              <w:rPr>
                <w:rFonts w:asciiTheme="minorEastAsia" w:hAnsiTheme="minorEastAsia" w:hint="eastAsia"/>
                <w:sz w:val="24"/>
                <w:szCs w:val="24"/>
              </w:rPr>
              <w:t>を実施</w:t>
            </w:r>
            <w:r w:rsidR="00FF2E80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815531" w:rsidRPr="005A164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036B5" w:rsidRDefault="004036B5" w:rsidP="00535A95">
            <w:pPr>
              <w:ind w:left="1662" w:hangingChars="700" w:hanging="1662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E0682">
              <w:rPr>
                <w:rFonts w:hint="eastAsia"/>
                <w:sz w:val="24"/>
                <w:szCs w:val="24"/>
              </w:rPr>
              <w:t>【実施方法】</w:t>
            </w:r>
            <w:r w:rsidR="004249AC" w:rsidRPr="00CD5AF4">
              <w:rPr>
                <w:rFonts w:hint="eastAsia"/>
                <w:color w:val="FF0000"/>
                <w:sz w:val="24"/>
                <w:szCs w:val="24"/>
              </w:rPr>
              <w:t>レセプトから</w:t>
            </w:r>
            <w:r w:rsidR="00535A95" w:rsidRPr="00CD5AF4">
              <w:rPr>
                <w:rFonts w:hint="eastAsia"/>
                <w:color w:val="FF0000"/>
                <w:sz w:val="24"/>
                <w:szCs w:val="24"/>
              </w:rPr>
              <w:t>未受療者</w:t>
            </w:r>
            <w:r w:rsidR="00063DF2" w:rsidRPr="00CD5AF4">
              <w:rPr>
                <w:rFonts w:hint="eastAsia"/>
                <w:color w:val="FF0000"/>
                <w:sz w:val="24"/>
                <w:szCs w:val="24"/>
              </w:rPr>
              <w:t>を抽出し</w:t>
            </w:r>
            <w:r w:rsidR="00535A95" w:rsidRPr="00CD5AF4">
              <w:rPr>
                <w:rFonts w:hint="eastAsia"/>
                <w:color w:val="FF0000"/>
                <w:sz w:val="24"/>
                <w:szCs w:val="24"/>
              </w:rPr>
              <w:t>受療勧奨</w:t>
            </w:r>
            <w:r w:rsidR="004249AC" w:rsidRPr="00CD5AF4">
              <w:rPr>
                <w:rFonts w:hint="eastAsia"/>
                <w:color w:val="FF0000"/>
                <w:sz w:val="24"/>
                <w:szCs w:val="24"/>
              </w:rPr>
              <w:t>。</w:t>
            </w:r>
            <w:r w:rsidR="00A81A26" w:rsidRPr="00FE0682">
              <w:rPr>
                <w:rFonts w:hint="eastAsia"/>
                <w:sz w:val="24"/>
                <w:szCs w:val="24"/>
              </w:rPr>
              <w:t>特定健診の検査値とレセプトデータから対象者を抽出し，かかりつけ医からの保健指導情報提供書</w:t>
            </w:r>
            <w:r w:rsidR="00467E05" w:rsidRPr="00FE0682">
              <w:rPr>
                <w:rFonts w:hint="eastAsia"/>
                <w:sz w:val="24"/>
                <w:szCs w:val="24"/>
              </w:rPr>
              <w:t>に沿って</w:t>
            </w:r>
            <w:r w:rsidR="00A81A26" w:rsidRPr="00FE0682">
              <w:rPr>
                <w:rFonts w:hint="eastAsia"/>
                <w:sz w:val="24"/>
                <w:szCs w:val="24"/>
              </w:rPr>
              <w:t>６カ月間の保健指導を実施。</w:t>
            </w:r>
          </w:p>
          <w:p w:rsidR="00063DF2" w:rsidRPr="00535A95" w:rsidRDefault="00063DF2" w:rsidP="00535A95">
            <w:pPr>
              <w:ind w:left="1662" w:hangingChars="700" w:hanging="1662"/>
              <w:rPr>
                <w:sz w:val="24"/>
                <w:szCs w:val="24"/>
              </w:rPr>
            </w:pPr>
          </w:p>
        </w:tc>
      </w:tr>
      <w:tr w:rsidR="00AC774C" w:rsidTr="00845B00">
        <w:tc>
          <w:tcPr>
            <w:tcW w:w="2126" w:type="dxa"/>
            <w:vAlign w:val="center"/>
          </w:tcPr>
          <w:p w:rsidR="00AC774C" w:rsidRDefault="00AC774C" w:rsidP="003719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普及啓発事業</w:t>
            </w:r>
          </w:p>
        </w:tc>
        <w:tc>
          <w:tcPr>
            <w:tcW w:w="7229" w:type="dxa"/>
          </w:tcPr>
          <w:p w:rsidR="00467E05" w:rsidRDefault="00467E05" w:rsidP="00AF6959">
            <w:pPr>
              <w:widowControl/>
              <w:jc w:val="left"/>
              <w:rPr>
                <w:sz w:val="24"/>
                <w:szCs w:val="24"/>
              </w:rPr>
            </w:pPr>
          </w:p>
          <w:p w:rsidR="00AC774C" w:rsidRDefault="00FB77C6" w:rsidP="00AF695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医療費通知</w:t>
            </w:r>
          </w:p>
          <w:p w:rsidR="00FB77C6" w:rsidRDefault="00FB77C6" w:rsidP="00314203">
            <w:pPr>
              <w:widowControl/>
              <w:ind w:left="237" w:hangingChars="100" w:hanging="237"/>
              <w:jc w:val="left"/>
              <w:rPr>
                <w:sz w:val="24"/>
                <w:szCs w:val="24"/>
              </w:rPr>
            </w:pPr>
            <w:r w:rsidRPr="001E29EB">
              <w:rPr>
                <w:rFonts w:hint="eastAsia"/>
                <w:sz w:val="24"/>
                <w:szCs w:val="24"/>
              </w:rPr>
              <w:t xml:space="preserve">　　</w:t>
            </w:r>
            <w:r w:rsidR="00484DC6" w:rsidRPr="005A2F84">
              <w:rPr>
                <w:rFonts w:hint="eastAsia"/>
                <w:sz w:val="24"/>
                <w:szCs w:val="24"/>
              </w:rPr>
              <w:t>受診実態を確認して適正な受診を促すため，</w:t>
            </w:r>
            <w:r w:rsidRPr="001E29EB">
              <w:rPr>
                <w:rFonts w:hint="eastAsia"/>
                <w:sz w:val="24"/>
                <w:szCs w:val="24"/>
              </w:rPr>
              <w:t>２か月分の</w:t>
            </w:r>
            <w:r w:rsidR="00FC3466">
              <w:rPr>
                <w:rFonts w:hint="eastAsia"/>
                <w:sz w:val="24"/>
                <w:szCs w:val="24"/>
              </w:rPr>
              <w:t>受診した医療機関名や費用額等</w:t>
            </w:r>
            <w:r w:rsidRPr="001E29EB">
              <w:rPr>
                <w:rFonts w:hint="eastAsia"/>
                <w:sz w:val="24"/>
                <w:szCs w:val="24"/>
              </w:rPr>
              <w:t>を年間６回</w:t>
            </w:r>
            <w:r w:rsidR="006762C4">
              <w:rPr>
                <w:rFonts w:hint="eastAsia"/>
                <w:sz w:val="24"/>
                <w:szCs w:val="24"/>
              </w:rPr>
              <w:t>通知</w:t>
            </w:r>
            <w:r w:rsidRPr="001E29EB">
              <w:rPr>
                <w:rFonts w:hint="eastAsia"/>
                <w:sz w:val="24"/>
                <w:szCs w:val="24"/>
              </w:rPr>
              <w:t>する。</w:t>
            </w:r>
          </w:p>
          <w:p w:rsidR="00677968" w:rsidRDefault="00677968" w:rsidP="00314203">
            <w:pPr>
              <w:widowControl/>
              <w:ind w:left="237" w:hangingChars="100" w:hanging="237"/>
              <w:jc w:val="left"/>
              <w:rPr>
                <w:sz w:val="24"/>
                <w:szCs w:val="24"/>
              </w:rPr>
            </w:pPr>
          </w:p>
          <w:p w:rsidR="00FB77C6" w:rsidRPr="001E29EB" w:rsidRDefault="00FB77C6" w:rsidP="00FB77C6">
            <w:pPr>
              <w:rPr>
                <w:sz w:val="24"/>
                <w:szCs w:val="24"/>
              </w:rPr>
            </w:pPr>
            <w:r w:rsidRPr="001E29EB">
              <w:rPr>
                <w:rFonts w:hint="eastAsia"/>
                <w:sz w:val="24"/>
                <w:szCs w:val="24"/>
              </w:rPr>
              <w:t xml:space="preserve">２　</w:t>
            </w:r>
            <w:r w:rsidR="00A100F5">
              <w:rPr>
                <w:rFonts w:hint="eastAsia"/>
                <w:sz w:val="24"/>
                <w:szCs w:val="24"/>
              </w:rPr>
              <w:t>後発医薬品（</w:t>
            </w:r>
            <w:r w:rsidRPr="001E29EB">
              <w:rPr>
                <w:rFonts w:hint="eastAsia"/>
                <w:sz w:val="24"/>
                <w:szCs w:val="24"/>
              </w:rPr>
              <w:t>ジェネリック医薬品</w:t>
            </w:r>
            <w:r w:rsidR="00A100F5">
              <w:rPr>
                <w:rFonts w:hint="eastAsia"/>
                <w:sz w:val="24"/>
                <w:szCs w:val="24"/>
              </w:rPr>
              <w:t>）の普及</w:t>
            </w:r>
            <w:r w:rsidRPr="001E29EB">
              <w:rPr>
                <w:rFonts w:hint="eastAsia"/>
                <w:sz w:val="24"/>
                <w:szCs w:val="24"/>
              </w:rPr>
              <w:t>啓発</w:t>
            </w:r>
          </w:p>
          <w:p w:rsidR="00B07DD3" w:rsidRDefault="00A100F5" w:rsidP="007576C1">
            <w:pPr>
              <w:ind w:leftChars="130" w:left="270"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後発医薬品</w:t>
            </w:r>
            <w:r w:rsidR="00FB77C6" w:rsidRPr="001E29EB">
              <w:rPr>
                <w:rFonts w:hint="eastAsia"/>
                <w:sz w:val="24"/>
                <w:szCs w:val="24"/>
              </w:rPr>
              <w:t>の利用促進のため</w:t>
            </w:r>
            <w:r w:rsidR="00836BCE">
              <w:rPr>
                <w:rFonts w:hint="eastAsia"/>
                <w:sz w:val="24"/>
                <w:szCs w:val="24"/>
              </w:rPr>
              <w:t>，</w:t>
            </w:r>
            <w:r w:rsidR="00FB77C6" w:rsidRPr="001E29EB">
              <w:rPr>
                <w:rFonts w:hint="eastAsia"/>
                <w:sz w:val="24"/>
                <w:szCs w:val="24"/>
              </w:rPr>
              <w:t>保険証更新時にジェネリック医薬品希望シール付きの啓発パンフレットを送付する。</w:t>
            </w:r>
            <w:r w:rsidR="003D7044">
              <w:rPr>
                <w:rFonts w:hint="eastAsia"/>
                <w:sz w:val="24"/>
                <w:szCs w:val="24"/>
              </w:rPr>
              <w:t>また，広報</w:t>
            </w:r>
            <w:r w:rsidR="00677968">
              <w:rPr>
                <w:rFonts w:hint="eastAsia"/>
                <w:sz w:val="24"/>
                <w:szCs w:val="24"/>
              </w:rPr>
              <w:t>紙</w:t>
            </w:r>
            <w:r w:rsidR="003D7044">
              <w:rPr>
                <w:rFonts w:hint="eastAsia"/>
                <w:sz w:val="24"/>
                <w:szCs w:val="24"/>
              </w:rPr>
              <w:t>等による啓発を実施する。</w:t>
            </w:r>
          </w:p>
          <w:p w:rsidR="00677968" w:rsidRDefault="00677968" w:rsidP="007576C1">
            <w:pPr>
              <w:ind w:leftChars="130" w:left="270" w:firstLineChars="100" w:firstLine="237"/>
              <w:rPr>
                <w:sz w:val="24"/>
                <w:szCs w:val="24"/>
              </w:rPr>
            </w:pPr>
          </w:p>
          <w:p w:rsidR="007576C1" w:rsidRPr="0004486C" w:rsidRDefault="007576C1" w:rsidP="003D7044">
            <w:pPr>
              <w:ind w:left="712" w:hangingChars="300" w:hanging="712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３　後発医薬品（ジェネリック医薬品）の利用差額通知</w:t>
            </w:r>
          </w:p>
          <w:p w:rsidR="00287BD2" w:rsidRDefault="003D7044" w:rsidP="00287BD2">
            <w:pPr>
              <w:ind w:leftChars="100" w:left="207" w:firstLineChars="100" w:firstLine="237"/>
              <w:rPr>
                <w:sz w:val="24"/>
                <w:szCs w:val="24"/>
              </w:rPr>
            </w:pPr>
            <w:r w:rsidRPr="0004486C">
              <w:rPr>
                <w:rFonts w:hint="eastAsia"/>
                <w:sz w:val="24"/>
                <w:szCs w:val="24"/>
              </w:rPr>
              <w:t>後発</w:t>
            </w:r>
            <w:r w:rsidR="00A100F5" w:rsidRPr="0004486C">
              <w:rPr>
                <w:rFonts w:hint="eastAsia"/>
                <w:sz w:val="24"/>
                <w:szCs w:val="24"/>
              </w:rPr>
              <w:t>医薬品の利用促進</w:t>
            </w:r>
            <w:r w:rsidR="00677968">
              <w:rPr>
                <w:rFonts w:hint="eastAsia"/>
                <w:sz w:val="24"/>
                <w:szCs w:val="24"/>
              </w:rPr>
              <w:t>のた</w:t>
            </w:r>
            <w:r w:rsidR="00A100F5" w:rsidRPr="0004486C">
              <w:rPr>
                <w:rFonts w:hint="eastAsia"/>
                <w:sz w:val="24"/>
                <w:szCs w:val="24"/>
              </w:rPr>
              <w:t>め，</w:t>
            </w:r>
            <w:r w:rsidRPr="0004486C">
              <w:rPr>
                <w:rFonts w:hint="eastAsia"/>
                <w:sz w:val="24"/>
                <w:szCs w:val="24"/>
              </w:rPr>
              <w:t>先発医薬品から後発医薬品に切り替えた際の自己負担額の差額を</w:t>
            </w:r>
            <w:r w:rsidR="00C85B00" w:rsidRPr="0004486C">
              <w:rPr>
                <w:rFonts w:hint="eastAsia"/>
                <w:sz w:val="24"/>
                <w:szCs w:val="24"/>
              </w:rPr>
              <w:t>年間２回</w:t>
            </w:r>
            <w:r w:rsidRPr="0004486C">
              <w:rPr>
                <w:rFonts w:hint="eastAsia"/>
                <w:sz w:val="24"/>
                <w:szCs w:val="24"/>
              </w:rPr>
              <w:t>通知することにより，後発医薬品への切り替えを促進する。</w:t>
            </w:r>
          </w:p>
          <w:p w:rsidR="00287BD2" w:rsidRDefault="00287BD2" w:rsidP="00287BD2">
            <w:pPr>
              <w:rPr>
                <w:sz w:val="24"/>
                <w:szCs w:val="24"/>
              </w:rPr>
            </w:pPr>
          </w:p>
          <w:p w:rsidR="00287BD2" w:rsidRDefault="00287BD2" w:rsidP="00287BD2">
            <w:pPr>
              <w:rPr>
                <w:sz w:val="24"/>
                <w:szCs w:val="24"/>
              </w:rPr>
            </w:pPr>
          </w:p>
          <w:p w:rsidR="00287BD2" w:rsidRDefault="007576C1" w:rsidP="00287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B77C6" w:rsidRPr="001E29EB">
              <w:rPr>
                <w:rFonts w:hint="eastAsia"/>
                <w:sz w:val="24"/>
                <w:szCs w:val="24"/>
              </w:rPr>
              <w:t xml:space="preserve">　訪問指導</w:t>
            </w:r>
          </w:p>
          <w:p w:rsidR="00FB77C6" w:rsidRDefault="00FB77C6" w:rsidP="00287BD2">
            <w:pPr>
              <w:rPr>
                <w:sz w:val="24"/>
                <w:szCs w:val="24"/>
              </w:rPr>
            </w:pPr>
            <w:r w:rsidRPr="001E29EB">
              <w:rPr>
                <w:rFonts w:hint="eastAsia"/>
                <w:sz w:val="24"/>
                <w:szCs w:val="24"/>
              </w:rPr>
              <w:t>レセプトから頻回受診・重複受診の被保険者を抽出して，健康管理と適正受診を促すため，町の保健師が訪問指導を行う。</w:t>
            </w:r>
          </w:p>
          <w:p w:rsidR="00D02305" w:rsidRPr="00ED1221" w:rsidRDefault="00D02305" w:rsidP="00815531">
            <w:pPr>
              <w:rPr>
                <w:sz w:val="24"/>
                <w:szCs w:val="24"/>
              </w:rPr>
            </w:pPr>
          </w:p>
        </w:tc>
      </w:tr>
      <w:tr w:rsidR="00AC774C" w:rsidTr="00845B00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774C" w:rsidRDefault="00AC774C" w:rsidP="003719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疾病予防事業</w:t>
            </w:r>
          </w:p>
          <w:p w:rsidR="00AC774C" w:rsidRDefault="00AC774C" w:rsidP="0037198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健康教育事業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66B7A" w:rsidRDefault="00B66B7A" w:rsidP="00FB77C6">
            <w:pPr>
              <w:rPr>
                <w:sz w:val="24"/>
                <w:szCs w:val="24"/>
              </w:rPr>
            </w:pPr>
          </w:p>
          <w:p w:rsidR="00FB77C6" w:rsidRPr="00FB77C6" w:rsidRDefault="00FB77C6" w:rsidP="00FB77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FB77C6">
              <w:rPr>
                <w:rFonts w:hint="eastAsia"/>
                <w:sz w:val="24"/>
                <w:szCs w:val="24"/>
              </w:rPr>
              <w:t>人間</w:t>
            </w:r>
            <w:r w:rsidR="00986057">
              <w:rPr>
                <w:rFonts w:hint="eastAsia"/>
                <w:sz w:val="24"/>
                <w:szCs w:val="24"/>
              </w:rPr>
              <w:t>（脳）</w:t>
            </w:r>
            <w:r w:rsidRPr="00FB77C6">
              <w:rPr>
                <w:rFonts w:hint="eastAsia"/>
                <w:sz w:val="24"/>
                <w:szCs w:val="24"/>
              </w:rPr>
              <w:t>ドック受診</w:t>
            </w:r>
            <w:r w:rsidR="00956AD9">
              <w:rPr>
                <w:rFonts w:hint="eastAsia"/>
                <w:sz w:val="24"/>
                <w:szCs w:val="24"/>
              </w:rPr>
              <w:t>費用助成</w:t>
            </w:r>
          </w:p>
          <w:p w:rsidR="00FB77C6" w:rsidRDefault="0056539C" w:rsidP="00314203">
            <w:pPr>
              <w:ind w:leftChars="100" w:left="207"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生活習慣</w:t>
            </w:r>
            <w:r w:rsidR="00FB77C6" w:rsidRPr="00FB77C6">
              <w:rPr>
                <w:rFonts w:hint="eastAsia"/>
                <w:sz w:val="24"/>
                <w:szCs w:val="24"/>
              </w:rPr>
              <w:t>病予防及び</w:t>
            </w:r>
            <w:r>
              <w:rPr>
                <w:rFonts w:hint="eastAsia"/>
                <w:sz w:val="24"/>
                <w:szCs w:val="24"/>
              </w:rPr>
              <w:t>疾病の</w:t>
            </w:r>
            <w:r w:rsidR="00FB77C6" w:rsidRPr="00FB77C6">
              <w:rPr>
                <w:rFonts w:hint="eastAsia"/>
                <w:sz w:val="24"/>
                <w:szCs w:val="24"/>
              </w:rPr>
              <w:t>早期発見のため，「利根町国民健康保険生活習慣病予防検診助成要綱」に基づき，人間ドック及び脳ドック受診</w:t>
            </w:r>
            <w:r>
              <w:rPr>
                <w:rFonts w:hint="eastAsia"/>
                <w:sz w:val="24"/>
                <w:szCs w:val="24"/>
              </w:rPr>
              <w:t>費用の</w:t>
            </w:r>
            <w:r w:rsidR="00C610F7">
              <w:rPr>
                <w:rFonts w:hint="eastAsia"/>
                <w:sz w:val="24"/>
                <w:szCs w:val="24"/>
              </w:rPr>
              <w:t>一部を</w:t>
            </w:r>
            <w:r w:rsidR="00371981">
              <w:rPr>
                <w:rFonts w:hint="eastAsia"/>
                <w:sz w:val="24"/>
                <w:szCs w:val="24"/>
              </w:rPr>
              <w:t>助成</w:t>
            </w:r>
            <w:r w:rsidR="00C610F7">
              <w:rPr>
                <w:rFonts w:hint="eastAsia"/>
                <w:sz w:val="24"/>
                <w:szCs w:val="24"/>
              </w:rPr>
              <w:t>する</w:t>
            </w:r>
            <w:r w:rsidR="00FB77C6" w:rsidRPr="00FB77C6">
              <w:rPr>
                <w:rFonts w:hint="eastAsia"/>
                <w:sz w:val="24"/>
                <w:szCs w:val="24"/>
              </w:rPr>
              <w:t>。</w:t>
            </w:r>
          </w:p>
          <w:p w:rsidR="00FB77C6" w:rsidRPr="00FB77C6" w:rsidRDefault="00FB77C6" w:rsidP="00FB77C6">
            <w:pPr>
              <w:rPr>
                <w:sz w:val="24"/>
                <w:szCs w:val="24"/>
              </w:rPr>
            </w:pPr>
          </w:p>
          <w:p w:rsidR="00FB77C6" w:rsidRPr="001E29EB" w:rsidRDefault="00063DF2" w:rsidP="00FB77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FB77C6" w:rsidRPr="001E29EB">
              <w:rPr>
                <w:rFonts w:hint="eastAsia"/>
                <w:sz w:val="24"/>
                <w:szCs w:val="24"/>
              </w:rPr>
              <w:t xml:space="preserve">　健康教育・健康相談事業</w:t>
            </w:r>
          </w:p>
          <w:p w:rsidR="007576C1" w:rsidRDefault="00FB77C6" w:rsidP="00B744EB">
            <w:pPr>
              <w:widowControl/>
              <w:ind w:leftChars="100" w:left="207" w:firstLineChars="100" w:firstLine="237"/>
              <w:jc w:val="left"/>
              <w:rPr>
                <w:sz w:val="24"/>
                <w:szCs w:val="24"/>
              </w:rPr>
            </w:pPr>
            <w:r w:rsidRPr="001E29EB">
              <w:rPr>
                <w:rFonts w:hint="eastAsia"/>
                <w:sz w:val="24"/>
                <w:szCs w:val="24"/>
              </w:rPr>
              <w:t>特定健康診査の結果，腹囲が基準値以下のため特定保健指導対象外であっても，血圧や血糖値が基準を超えているリスク保有者の方には，集団健康教室を行う。</w:t>
            </w:r>
          </w:p>
          <w:p w:rsidR="00677968" w:rsidRDefault="00677968" w:rsidP="00B744EB">
            <w:pPr>
              <w:widowControl/>
              <w:ind w:leftChars="100" w:left="207" w:firstLineChars="100" w:firstLine="237"/>
              <w:jc w:val="left"/>
              <w:rPr>
                <w:sz w:val="24"/>
                <w:szCs w:val="24"/>
              </w:rPr>
            </w:pPr>
          </w:p>
          <w:p w:rsidR="00CA2112" w:rsidRPr="00FB77C6" w:rsidRDefault="00CA2112" w:rsidP="00CD5AF4">
            <w:pPr>
              <w:widowControl/>
              <w:ind w:firstLineChars="100" w:firstLine="237"/>
              <w:jc w:val="left"/>
              <w:rPr>
                <w:sz w:val="24"/>
                <w:szCs w:val="24"/>
              </w:rPr>
            </w:pPr>
          </w:p>
        </w:tc>
      </w:tr>
    </w:tbl>
    <w:p w:rsidR="00AD2D60" w:rsidRPr="00AD2D60" w:rsidRDefault="00AD2D60" w:rsidP="008150AD">
      <w:pPr>
        <w:widowControl/>
        <w:jc w:val="left"/>
      </w:pPr>
      <w:bookmarkStart w:id="0" w:name="_GoBack"/>
      <w:bookmarkEnd w:id="0"/>
    </w:p>
    <w:sectPr w:rsidR="00AD2D60" w:rsidRPr="00AD2D60" w:rsidSect="00CA2112">
      <w:headerReference w:type="default" r:id="rId7"/>
      <w:pgSz w:w="11906" w:h="16838" w:code="9"/>
      <w:pgMar w:top="1560" w:right="1134" w:bottom="709" w:left="1134" w:header="851" w:footer="992" w:gutter="0"/>
      <w:cols w:space="425"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21" w:rsidRDefault="00ED1221" w:rsidP="00362311">
      <w:r>
        <w:separator/>
      </w:r>
    </w:p>
  </w:endnote>
  <w:endnote w:type="continuationSeparator" w:id="0">
    <w:p w:rsidR="00ED1221" w:rsidRDefault="00ED1221" w:rsidP="003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21" w:rsidRDefault="00ED1221" w:rsidP="00362311">
      <w:r>
        <w:separator/>
      </w:r>
    </w:p>
  </w:footnote>
  <w:footnote w:type="continuationSeparator" w:id="0">
    <w:p w:rsidR="00ED1221" w:rsidRDefault="00ED1221" w:rsidP="0036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43" w:rsidRDefault="001F0943" w:rsidP="001F094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4459"/>
    <w:multiLevelType w:val="hybridMultilevel"/>
    <w:tmpl w:val="E034EBD0"/>
    <w:lvl w:ilvl="0" w:tplc="594E645E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1" w15:restartNumberingAfterBreak="0">
    <w:nsid w:val="32897C17"/>
    <w:multiLevelType w:val="hybridMultilevel"/>
    <w:tmpl w:val="7E0E7EFE"/>
    <w:lvl w:ilvl="0" w:tplc="5D74985C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2" w15:restartNumberingAfterBreak="0">
    <w:nsid w:val="33A866FE"/>
    <w:multiLevelType w:val="hybridMultilevel"/>
    <w:tmpl w:val="D2025504"/>
    <w:lvl w:ilvl="0" w:tplc="E2240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67B2B"/>
    <w:multiLevelType w:val="hybridMultilevel"/>
    <w:tmpl w:val="391A15A4"/>
    <w:lvl w:ilvl="0" w:tplc="3D36B898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4" w15:restartNumberingAfterBreak="0">
    <w:nsid w:val="4DD52479"/>
    <w:multiLevelType w:val="hybridMultilevel"/>
    <w:tmpl w:val="4A44A270"/>
    <w:lvl w:ilvl="0" w:tplc="2D627B30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95"/>
    <w:rsid w:val="00006C3D"/>
    <w:rsid w:val="0004486C"/>
    <w:rsid w:val="00056487"/>
    <w:rsid w:val="00063DF2"/>
    <w:rsid w:val="000C5824"/>
    <w:rsid w:val="000C7D45"/>
    <w:rsid w:val="000D26FD"/>
    <w:rsid w:val="00154444"/>
    <w:rsid w:val="00162D05"/>
    <w:rsid w:val="0016322A"/>
    <w:rsid w:val="001A2DCB"/>
    <w:rsid w:val="001C2E02"/>
    <w:rsid w:val="001E29EB"/>
    <w:rsid w:val="001F0943"/>
    <w:rsid w:val="00201270"/>
    <w:rsid w:val="00241A88"/>
    <w:rsid w:val="00255F5C"/>
    <w:rsid w:val="00266760"/>
    <w:rsid w:val="00287BD2"/>
    <w:rsid w:val="002A51FA"/>
    <w:rsid w:val="002B675C"/>
    <w:rsid w:val="00312821"/>
    <w:rsid w:val="00314203"/>
    <w:rsid w:val="00362311"/>
    <w:rsid w:val="00371981"/>
    <w:rsid w:val="00376958"/>
    <w:rsid w:val="003B616A"/>
    <w:rsid w:val="003B6B6A"/>
    <w:rsid w:val="003B6CDF"/>
    <w:rsid w:val="003D7044"/>
    <w:rsid w:val="003E25F6"/>
    <w:rsid w:val="003F0DCB"/>
    <w:rsid w:val="00400BB6"/>
    <w:rsid w:val="004036B5"/>
    <w:rsid w:val="00404D56"/>
    <w:rsid w:val="004120A0"/>
    <w:rsid w:val="004249AC"/>
    <w:rsid w:val="00447756"/>
    <w:rsid w:val="00461DDE"/>
    <w:rsid w:val="00463429"/>
    <w:rsid w:val="00467E05"/>
    <w:rsid w:val="00471545"/>
    <w:rsid w:val="00484DC6"/>
    <w:rsid w:val="004A0E69"/>
    <w:rsid w:val="004B3A81"/>
    <w:rsid w:val="004D65AE"/>
    <w:rsid w:val="00501FAA"/>
    <w:rsid w:val="005105B5"/>
    <w:rsid w:val="005206C3"/>
    <w:rsid w:val="00535A95"/>
    <w:rsid w:val="00546834"/>
    <w:rsid w:val="0056539C"/>
    <w:rsid w:val="005A1646"/>
    <w:rsid w:val="005A2F84"/>
    <w:rsid w:val="005C5E8E"/>
    <w:rsid w:val="005E1895"/>
    <w:rsid w:val="00606FD5"/>
    <w:rsid w:val="00653BB0"/>
    <w:rsid w:val="006666DA"/>
    <w:rsid w:val="006762C4"/>
    <w:rsid w:val="00677968"/>
    <w:rsid w:val="00682DC7"/>
    <w:rsid w:val="0068461E"/>
    <w:rsid w:val="006A78C6"/>
    <w:rsid w:val="006E1306"/>
    <w:rsid w:val="00715D8C"/>
    <w:rsid w:val="0072755A"/>
    <w:rsid w:val="0073002A"/>
    <w:rsid w:val="007357CF"/>
    <w:rsid w:val="00756B05"/>
    <w:rsid w:val="007576C1"/>
    <w:rsid w:val="007615E4"/>
    <w:rsid w:val="00771C1F"/>
    <w:rsid w:val="00782D1F"/>
    <w:rsid w:val="007830EE"/>
    <w:rsid w:val="00796FC9"/>
    <w:rsid w:val="007C4BAC"/>
    <w:rsid w:val="007F200E"/>
    <w:rsid w:val="007F6C51"/>
    <w:rsid w:val="00800CA0"/>
    <w:rsid w:val="008150AD"/>
    <w:rsid w:val="00815531"/>
    <w:rsid w:val="00815A38"/>
    <w:rsid w:val="00816263"/>
    <w:rsid w:val="00836BCE"/>
    <w:rsid w:val="00845B00"/>
    <w:rsid w:val="008563E1"/>
    <w:rsid w:val="0086150C"/>
    <w:rsid w:val="008736D3"/>
    <w:rsid w:val="00883407"/>
    <w:rsid w:val="00883755"/>
    <w:rsid w:val="008907E1"/>
    <w:rsid w:val="008A3EE1"/>
    <w:rsid w:val="008C4443"/>
    <w:rsid w:val="008F1D85"/>
    <w:rsid w:val="008F3CA1"/>
    <w:rsid w:val="0091574C"/>
    <w:rsid w:val="009223F9"/>
    <w:rsid w:val="00936B95"/>
    <w:rsid w:val="009409C3"/>
    <w:rsid w:val="009455A6"/>
    <w:rsid w:val="00954AC5"/>
    <w:rsid w:val="00956AD9"/>
    <w:rsid w:val="00973F27"/>
    <w:rsid w:val="00986057"/>
    <w:rsid w:val="00994CD7"/>
    <w:rsid w:val="009E7F49"/>
    <w:rsid w:val="009F37E3"/>
    <w:rsid w:val="00A0534C"/>
    <w:rsid w:val="00A100F5"/>
    <w:rsid w:val="00A30492"/>
    <w:rsid w:val="00A306A2"/>
    <w:rsid w:val="00A4581A"/>
    <w:rsid w:val="00A57686"/>
    <w:rsid w:val="00A724CF"/>
    <w:rsid w:val="00A81A26"/>
    <w:rsid w:val="00AB343A"/>
    <w:rsid w:val="00AC6CF6"/>
    <w:rsid w:val="00AC774C"/>
    <w:rsid w:val="00AD2D60"/>
    <w:rsid w:val="00AF6959"/>
    <w:rsid w:val="00AF7CF3"/>
    <w:rsid w:val="00B023AB"/>
    <w:rsid w:val="00B07DD3"/>
    <w:rsid w:val="00B4121C"/>
    <w:rsid w:val="00B52161"/>
    <w:rsid w:val="00B66B7A"/>
    <w:rsid w:val="00B744EB"/>
    <w:rsid w:val="00B82A54"/>
    <w:rsid w:val="00BA264C"/>
    <w:rsid w:val="00BA4514"/>
    <w:rsid w:val="00BA4CC9"/>
    <w:rsid w:val="00BB3353"/>
    <w:rsid w:val="00BD2C1A"/>
    <w:rsid w:val="00BD3123"/>
    <w:rsid w:val="00BD431E"/>
    <w:rsid w:val="00BE541D"/>
    <w:rsid w:val="00BE5ACE"/>
    <w:rsid w:val="00C01402"/>
    <w:rsid w:val="00C02EA1"/>
    <w:rsid w:val="00C12570"/>
    <w:rsid w:val="00C5243F"/>
    <w:rsid w:val="00C610F7"/>
    <w:rsid w:val="00C85B00"/>
    <w:rsid w:val="00C8647C"/>
    <w:rsid w:val="00CA2112"/>
    <w:rsid w:val="00CA5900"/>
    <w:rsid w:val="00CA597C"/>
    <w:rsid w:val="00CB5094"/>
    <w:rsid w:val="00CD5AF4"/>
    <w:rsid w:val="00CF3D44"/>
    <w:rsid w:val="00D02305"/>
    <w:rsid w:val="00D11345"/>
    <w:rsid w:val="00D16AEB"/>
    <w:rsid w:val="00D402EF"/>
    <w:rsid w:val="00D40969"/>
    <w:rsid w:val="00D66A3A"/>
    <w:rsid w:val="00D67725"/>
    <w:rsid w:val="00DD5236"/>
    <w:rsid w:val="00E0043C"/>
    <w:rsid w:val="00E037DE"/>
    <w:rsid w:val="00E3072A"/>
    <w:rsid w:val="00E65808"/>
    <w:rsid w:val="00E7550F"/>
    <w:rsid w:val="00EC39F3"/>
    <w:rsid w:val="00ED1221"/>
    <w:rsid w:val="00EF0BB2"/>
    <w:rsid w:val="00F03646"/>
    <w:rsid w:val="00F112A1"/>
    <w:rsid w:val="00F344B2"/>
    <w:rsid w:val="00F70167"/>
    <w:rsid w:val="00F86DE0"/>
    <w:rsid w:val="00F910AE"/>
    <w:rsid w:val="00FB77C6"/>
    <w:rsid w:val="00FC3466"/>
    <w:rsid w:val="00FD0DC3"/>
    <w:rsid w:val="00FD611B"/>
    <w:rsid w:val="00FE0682"/>
    <w:rsid w:val="00FE55CA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4CC24A6B"/>
  <w15:docId w15:val="{716822A8-579F-48E2-A8BC-46CEC192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311"/>
  </w:style>
  <w:style w:type="paragraph" w:styleId="a5">
    <w:name w:val="footer"/>
    <w:basedOn w:val="a"/>
    <w:link w:val="a6"/>
    <w:uiPriority w:val="99"/>
    <w:unhideWhenUsed/>
    <w:rsid w:val="0036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311"/>
  </w:style>
  <w:style w:type="paragraph" w:customStyle="1" w:styleId="Default">
    <w:name w:val="Default"/>
    <w:rsid w:val="0036231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CA1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0207</dc:creator>
  <cp:keywords/>
  <dc:description/>
  <cp:lastModifiedBy>大貫 理恵</cp:lastModifiedBy>
  <cp:revision>3</cp:revision>
  <cp:lastPrinted>2021-01-25T06:01:00Z</cp:lastPrinted>
  <dcterms:created xsi:type="dcterms:W3CDTF">2021-01-25T05:57:00Z</dcterms:created>
  <dcterms:modified xsi:type="dcterms:W3CDTF">2021-01-25T06:09:00Z</dcterms:modified>
</cp:coreProperties>
</file>